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456"/>
      </w:tblGrid>
      <w:tr w:rsidR="00545E36" w14:paraId="2C8D7B13" w14:textId="77777777">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14E3728E" w14:textId="77777777" w:rsidR="00545E36" w:rsidRDefault="00545E36">
            <w:pPr>
              <w:jc w:val="center"/>
              <w:rPr>
                <w:b/>
                <w:bCs/>
                <w:sz w:val="24"/>
              </w:rPr>
            </w:pPr>
            <w:r>
              <w:rPr>
                <w:b/>
                <w:bCs/>
                <w:sz w:val="24"/>
              </w:rPr>
              <w:t>UNIVERSITY OF BRISTOL</w:t>
            </w:r>
            <w:r w:rsidR="00335BDC">
              <w:rPr>
                <w:b/>
                <w:bCs/>
                <w:sz w:val="24"/>
              </w:rPr>
              <w:t xml:space="preserve"> SCHOOL OF CHEMISTRY</w:t>
            </w:r>
          </w:p>
          <w:p w14:paraId="74AE8175" w14:textId="77777777" w:rsidR="00545E36" w:rsidRDefault="00721C41">
            <w:pPr>
              <w:jc w:val="center"/>
              <w:rPr>
                <w:b/>
                <w:bCs/>
                <w:color w:val="FF0000"/>
                <w:sz w:val="24"/>
              </w:rPr>
            </w:pPr>
            <w:r>
              <w:rPr>
                <w:b/>
                <w:bCs/>
                <w:color w:val="FF0000"/>
                <w:sz w:val="24"/>
              </w:rPr>
              <w:t>RISK ASSESSMENT</w:t>
            </w:r>
          </w:p>
          <w:p w14:paraId="65A95778" w14:textId="77777777" w:rsidR="00545E36" w:rsidRDefault="00545E36">
            <w:pPr>
              <w:jc w:val="both"/>
              <w:rPr>
                <w:b/>
                <w:bCs/>
                <w:sz w:val="24"/>
              </w:rPr>
            </w:pPr>
            <w:r>
              <w:rPr>
                <w:b/>
                <w:bCs/>
                <w:sz w:val="18"/>
                <w:szCs w:val="15"/>
              </w:rPr>
              <w:t>This form mu</w:t>
            </w:r>
            <w:r w:rsidR="00C15ADC">
              <w:rPr>
                <w:b/>
                <w:bCs/>
                <w:sz w:val="18"/>
                <w:szCs w:val="15"/>
              </w:rPr>
              <w:t>st be completed by a competent a</w:t>
            </w:r>
            <w:r>
              <w:rPr>
                <w:b/>
                <w:bCs/>
                <w:sz w:val="18"/>
                <w:szCs w:val="15"/>
              </w:rPr>
              <w:t xml:space="preserve">ssessor for any procedure/system of work </w:t>
            </w:r>
            <w:r>
              <w:rPr>
                <w:b/>
                <w:bCs/>
                <w:color w:val="FF0000"/>
                <w:sz w:val="18"/>
                <w:szCs w:val="15"/>
              </w:rPr>
              <w:t>before</w:t>
            </w:r>
            <w:r>
              <w:rPr>
                <w:b/>
                <w:bCs/>
                <w:sz w:val="18"/>
                <w:szCs w:val="15"/>
              </w:rPr>
              <w:t xml:space="preserve"> an attempt is made at </w:t>
            </w:r>
            <w:r w:rsidR="00C15ADC">
              <w:rPr>
                <w:b/>
                <w:bCs/>
                <w:sz w:val="18"/>
                <w:szCs w:val="15"/>
              </w:rPr>
              <w:t xml:space="preserve">carrying out </w:t>
            </w:r>
            <w:r>
              <w:rPr>
                <w:b/>
                <w:bCs/>
                <w:sz w:val="18"/>
                <w:szCs w:val="15"/>
              </w:rPr>
              <w:t xml:space="preserve">the procedure/system of work. </w:t>
            </w:r>
            <w:r w:rsidR="00C15ADC">
              <w:rPr>
                <w:b/>
                <w:bCs/>
                <w:sz w:val="18"/>
                <w:szCs w:val="15"/>
              </w:rPr>
              <w:t>Please refer to t</w:t>
            </w:r>
            <w:r>
              <w:rPr>
                <w:b/>
                <w:bCs/>
                <w:sz w:val="18"/>
                <w:szCs w:val="15"/>
              </w:rPr>
              <w:t xml:space="preserve">he instructions for making a Risk Assessment in the </w:t>
            </w:r>
            <w:hyperlink r:id="rId7" w:history="1">
              <w:r w:rsidR="00C15ADC">
                <w:rPr>
                  <w:rStyle w:val="Hyperlink"/>
                  <w:b/>
                  <w:bCs/>
                  <w:sz w:val="18"/>
                </w:rPr>
                <w:t>School</w:t>
              </w:r>
              <w:r w:rsidR="00C15ADC">
                <w:rPr>
                  <w:rStyle w:val="Hyperlink"/>
                  <w:b/>
                  <w:bCs/>
                  <w:sz w:val="18"/>
                </w:rPr>
                <w:t xml:space="preserve"> </w:t>
              </w:r>
              <w:r w:rsidR="00C15ADC">
                <w:rPr>
                  <w:rStyle w:val="Hyperlink"/>
                  <w:b/>
                  <w:bCs/>
                  <w:sz w:val="18"/>
                </w:rPr>
                <w:t>of Chemistry Safety Manual</w:t>
              </w:r>
            </w:hyperlink>
            <w:r w:rsidR="00C15ADC">
              <w:rPr>
                <w:b/>
                <w:bCs/>
                <w:sz w:val="18"/>
              </w:rPr>
              <w:t xml:space="preserve"> (</w:t>
            </w:r>
            <w:r w:rsidR="00C15ADC" w:rsidRPr="00C15ADC">
              <w:rPr>
                <w:b/>
                <w:bCs/>
                <w:sz w:val="18"/>
              </w:rPr>
              <w:t>http://www.chm.bris.ac.uk/safety/nfrass.htm</w:t>
            </w:r>
            <w:r w:rsidR="00C15ADC">
              <w:rPr>
                <w:b/>
                <w:bCs/>
                <w:sz w:val="18"/>
              </w:rPr>
              <w:t>).</w:t>
            </w:r>
          </w:p>
        </w:tc>
      </w:tr>
      <w:tr w:rsidR="00545E36" w14:paraId="75C3837F"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AB751A2" w14:textId="77777777" w:rsidR="004B59C2" w:rsidRPr="00C15ADC" w:rsidRDefault="00545E36" w:rsidP="00743220">
            <w:pPr>
              <w:tabs>
                <w:tab w:val="right" w:pos="10466"/>
              </w:tabs>
              <w:rPr>
                <w:bCs/>
              </w:rPr>
            </w:pPr>
            <w:r>
              <w:rPr>
                <w:b/>
                <w:bCs/>
              </w:rPr>
              <w:t>Na</w:t>
            </w:r>
            <w:r w:rsidR="00802ACF">
              <w:rPr>
                <w:b/>
                <w:bCs/>
              </w:rPr>
              <w:t xml:space="preserve">me and Status of the Assessor: </w:t>
            </w:r>
            <w:r w:rsidR="00991089">
              <w:rPr>
                <w:bCs/>
              </w:rPr>
              <w:t>Edmund Smith (PhD student)</w:t>
            </w:r>
            <w:r w:rsidR="00743220">
              <w:rPr>
                <w:bCs/>
              </w:rPr>
              <w:tab/>
            </w:r>
            <w:r w:rsidR="00743220">
              <w:rPr>
                <w:b/>
                <w:bCs/>
              </w:rPr>
              <w:t xml:space="preserve">Date: </w:t>
            </w:r>
            <w:r w:rsidR="00BE13A7" w:rsidRPr="00BE13A7">
              <w:t>04/06/19</w:t>
            </w:r>
          </w:p>
        </w:tc>
      </w:tr>
      <w:tr w:rsidR="00545E36" w14:paraId="4F0732FF"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898A28F" w14:textId="77777777" w:rsidR="00545E36" w:rsidRDefault="00545E36">
            <w:pPr>
              <w:rPr>
                <w:b/>
                <w:bCs/>
              </w:rPr>
            </w:pPr>
            <w:r>
              <w:rPr>
                <w:b/>
                <w:bCs/>
              </w:rPr>
              <w:t>Activity</w:t>
            </w:r>
            <w:r w:rsidR="00FE76FD">
              <w:rPr>
                <w:b/>
                <w:bCs/>
              </w:rPr>
              <w:t>/procedure</w:t>
            </w:r>
            <w:r>
              <w:rPr>
                <w:b/>
                <w:bCs/>
              </w:rPr>
              <w:t xml:space="preserve"> being assessed:</w:t>
            </w:r>
          </w:p>
          <w:p w14:paraId="42A138DE" w14:textId="77777777" w:rsidR="004B59C2" w:rsidRPr="004B59C2" w:rsidRDefault="004B59C2">
            <w:pPr>
              <w:rPr>
                <w:b/>
                <w:bCs/>
              </w:rPr>
            </w:pPr>
          </w:p>
          <w:p w14:paraId="3E0F6C39" w14:textId="77777777" w:rsidR="00545E36" w:rsidRDefault="00BE13A7">
            <w:r w:rsidRPr="007F6E8C">
              <w:rPr>
                <w:b/>
                <w:bCs/>
              </w:rPr>
              <w:t>Electrostatic spray deposition</w:t>
            </w:r>
            <w:r>
              <w:t xml:space="preserve"> of nano- and micro-particle colloidal suspensions</w:t>
            </w:r>
            <w:bookmarkStart w:id="0" w:name="_GoBack"/>
            <w:bookmarkEnd w:id="0"/>
          </w:p>
          <w:p w14:paraId="70B79CCC" w14:textId="77777777" w:rsidR="004B59C2" w:rsidRDefault="004B59C2"/>
        </w:tc>
      </w:tr>
      <w:tr w:rsidR="00545E36" w14:paraId="3930E944"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23C4843" w14:textId="77777777" w:rsidR="00545E36" w:rsidRDefault="00545E36">
            <w:pPr>
              <w:rPr>
                <w:b/>
                <w:bCs/>
              </w:rPr>
            </w:pPr>
            <w:r>
              <w:rPr>
                <w:b/>
                <w:bCs/>
              </w:rPr>
              <w:t>Known or expected hazards associated with the activity:</w:t>
            </w:r>
          </w:p>
          <w:p w14:paraId="3DAD1432" w14:textId="77777777" w:rsidR="00FE76FD" w:rsidRPr="002B38C7" w:rsidRDefault="00FE76FD">
            <w:pPr>
              <w:rPr>
                <w:bCs/>
              </w:rPr>
            </w:pPr>
          </w:p>
          <w:p w14:paraId="33ECA48C" w14:textId="77777777" w:rsidR="00335BDC" w:rsidRDefault="002B38C7" w:rsidP="00CA4A59">
            <w:pPr>
              <w:numPr>
                <w:ilvl w:val="0"/>
                <w:numId w:val="1"/>
              </w:numPr>
              <w:rPr>
                <w:bCs/>
              </w:rPr>
            </w:pPr>
            <w:r w:rsidRPr="002B38C7">
              <w:rPr>
                <w:bCs/>
              </w:rPr>
              <w:t>Electric shock</w:t>
            </w:r>
            <w:r w:rsidR="00BE13A7">
              <w:rPr>
                <w:bCs/>
              </w:rPr>
              <w:t xml:space="preserve"> </w:t>
            </w:r>
            <w:r w:rsidR="00BF2418">
              <w:rPr>
                <w:bCs/>
              </w:rPr>
              <w:t>from</w:t>
            </w:r>
            <w:r>
              <w:rPr>
                <w:bCs/>
              </w:rPr>
              <w:t xml:space="preserve"> </w:t>
            </w:r>
            <w:r w:rsidRPr="002B38C7">
              <w:rPr>
                <w:bCs/>
              </w:rPr>
              <w:t>high voltage</w:t>
            </w:r>
            <w:r w:rsidR="004B7EE5">
              <w:rPr>
                <w:bCs/>
              </w:rPr>
              <w:t>s</w:t>
            </w:r>
          </w:p>
          <w:p w14:paraId="1871554B" w14:textId="77777777" w:rsidR="00D03870" w:rsidRDefault="00897D94" w:rsidP="00DF2B2A">
            <w:pPr>
              <w:numPr>
                <w:ilvl w:val="0"/>
                <w:numId w:val="1"/>
              </w:numPr>
              <w:rPr>
                <w:bCs/>
              </w:rPr>
            </w:pPr>
            <w:r>
              <w:rPr>
                <w:bCs/>
              </w:rPr>
              <w:t>Organic s</w:t>
            </w:r>
            <w:r w:rsidR="00C84168">
              <w:rPr>
                <w:bCs/>
              </w:rPr>
              <w:t xml:space="preserve">olvents </w:t>
            </w:r>
            <w:r w:rsidR="00765292">
              <w:rPr>
                <w:bCs/>
              </w:rPr>
              <w:t>(exposure or fire)</w:t>
            </w:r>
          </w:p>
          <w:p w14:paraId="4EE1EE32" w14:textId="77777777" w:rsidR="00BE13A7" w:rsidRDefault="00BE13A7" w:rsidP="00DF2B2A">
            <w:pPr>
              <w:numPr>
                <w:ilvl w:val="0"/>
                <w:numId w:val="1"/>
              </w:numPr>
              <w:rPr>
                <w:bCs/>
              </w:rPr>
            </w:pPr>
            <w:r>
              <w:rPr>
                <w:bCs/>
              </w:rPr>
              <w:t>Nano- and micro-particles</w:t>
            </w:r>
            <w:r w:rsidR="00765292">
              <w:rPr>
                <w:bCs/>
              </w:rPr>
              <w:t xml:space="preserve"> (exposure)</w:t>
            </w:r>
          </w:p>
          <w:p w14:paraId="4C7BC6BC" w14:textId="77777777" w:rsidR="00170CBB" w:rsidRPr="00CE4AFC" w:rsidRDefault="00233EFE">
            <w:pPr>
              <w:numPr>
                <w:ilvl w:val="0"/>
                <w:numId w:val="1"/>
              </w:numPr>
              <w:rPr>
                <w:bCs/>
              </w:rPr>
            </w:pPr>
            <w:r>
              <w:rPr>
                <w:bCs/>
              </w:rPr>
              <w:t>Silicon</w:t>
            </w:r>
            <w:r w:rsidR="003576D8">
              <w:rPr>
                <w:bCs/>
              </w:rPr>
              <w:t>/diamond</w:t>
            </w:r>
            <w:r>
              <w:rPr>
                <w:bCs/>
              </w:rPr>
              <w:t xml:space="preserve"> (or similar) substrates (sharp)</w:t>
            </w:r>
          </w:p>
          <w:p w14:paraId="4383FA94" w14:textId="77777777" w:rsidR="004B59C2" w:rsidRPr="008B418C" w:rsidRDefault="004B59C2"/>
        </w:tc>
      </w:tr>
      <w:tr w:rsidR="00545E36" w14:paraId="155C01D9"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471A5F4" w14:textId="77777777" w:rsidR="00545E36" w:rsidRDefault="00545E36">
            <w:pPr>
              <w:rPr>
                <w:b/>
                <w:bCs/>
              </w:rPr>
            </w:pPr>
            <w:r>
              <w:rPr>
                <w:b/>
                <w:bCs/>
              </w:rPr>
              <w:t>The risk of injury and its severity likely to arise from these hazards:</w:t>
            </w:r>
          </w:p>
          <w:p w14:paraId="36F849B9" w14:textId="77777777" w:rsidR="00545E36" w:rsidRDefault="00545E36">
            <w:pPr>
              <w:rPr>
                <w:bCs/>
              </w:rPr>
            </w:pPr>
          </w:p>
          <w:p w14:paraId="6E310E01" w14:textId="77777777" w:rsidR="00BE13A7" w:rsidRDefault="00795940" w:rsidP="00795940">
            <w:pPr>
              <w:numPr>
                <w:ilvl w:val="0"/>
                <w:numId w:val="2"/>
              </w:numPr>
              <w:rPr>
                <w:bCs/>
              </w:rPr>
            </w:pPr>
            <w:r>
              <w:rPr>
                <w:bCs/>
              </w:rPr>
              <w:t>The r</w:t>
            </w:r>
            <w:r w:rsidR="002B38C7">
              <w:rPr>
                <w:bCs/>
              </w:rPr>
              <w:t>isk of injury from electric shock</w:t>
            </w:r>
            <w:r w:rsidR="00AE193C">
              <w:rPr>
                <w:bCs/>
              </w:rPr>
              <w:t xml:space="preserve"> in normal operation</w:t>
            </w:r>
            <w:r w:rsidR="002B38C7">
              <w:rPr>
                <w:bCs/>
              </w:rPr>
              <w:t xml:space="preserve"> is </w:t>
            </w:r>
            <w:r w:rsidR="004B7EE5">
              <w:rPr>
                <w:bCs/>
              </w:rPr>
              <w:t>medium</w:t>
            </w:r>
            <w:r w:rsidR="00BE13A7">
              <w:rPr>
                <w:bCs/>
              </w:rPr>
              <w:t xml:space="preserve">, with the syringe being exposed while at high voltages. The risk is reduced as the syringe itself is insulating, but arcing can still occur if anything </w:t>
            </w:r>
            <w:r w:rsidR="004B7EE5">
              <w:rPr>
                <w:bCs/>
              </w:rPr>
              <w:t>conductive comes into close proximity</w:t>
            </w:r>
            <w:r w:rsidR="00BE13A7">
              <w:rPr>
                <w:bCs/>
              </w:rPr>
              <w:t xml:space="preserve">. The risk of electric shock from the components inside the apparatus is very low, as the interlock will not allow high voltages to be present while the apparatus is open. </w:t>
            </w:r>
          </w:p>
          <w:p w14:paraId="6AF3275C" w14:textId="77777777" w:rsidR="004B7EE5" w:rsidRDefault="004B7EE5" w:rsidP="00BE13A7">
            <w:pPr>
              <w:ind w:left="720"/>
              <w:rPr>
                <w:bCs/>
              </w:rPr>
            </w:pPr>
            <w:r>
              <w:rPr>
                <w:bCs/>
              </w:rPr>
              <w:t xml:space="preserve">The risk of injury from the high voltage power supply is very low </w:t>
            </w:r>
            <w:r w:rsidR="005E5BFE">
              <w:rPr>
                <w:bCs/>
              </w:rPr>
              <w:t xml:space="preserve">since </w:t>
            </w:r>
            <w:r>
              <w:rPr>
                <w:bCs/>
              </w:rPr>
              <w:t xml:space="preserve">the </w:t>
            </w:r>
            <w:r w:rsidR="00F12BE8">
              <w:rPr>
                <w:bCs/>
              </w:rPr>
              <w:t xml:space="preserve">hazardous </w:t>
            </w:r>
            <w:r w:rsidR="00C15526">
              <w:rPr>
                <w:bCs/>
              </w:rPr>
              <w:t>high voltages</w:t>
            </w:r>
            <w:r w:rsidR="005E5BFE">
              <w:rPr>
                <w:bCs/>
              </w:rPr>
              <w:t xml:space="preserve"> are present only inside</w:t>
            </w:r>
            <w:r w:rsidR="0099781D">
              <w:rPr>
                <w:bCs/>
              </w:rPr>
              <w:t xml:space="preserve"> the</w:t>
            </w:r>
            <w:r w:rsidR="005E5BFE">
              <w:rPr>
                <w:bCs/>
              </w:rPr>
              <w:t xml:space="preserve"> power suppl</w:t>
            </w:r>
            <w:r w:rsidR="0099781D">
              <w:rPr>
                <w:bCs/>
              </w:rPr>
              <w:t xml:space="preserve">y </w:t>
            </w:r>
            <w:r w:rsidR="005E5BFE">
              <w:rPr>
                <w:bCs/>
              </w:rPr>
              <w:t>and cannot be accessed without opening the equipment casing, which ordinarily is neither required nor appropriate</w:t>
            </w:r>
            <w:r w:rsidR="00287AAA">
              <w:rPr>
                <w:bCs/>
              </w:rPr>
              <w:t xml:space="preserve">. </w:t>
            </w:r>
          </w:p>
          <w:p w14:paraId="0D39DCF3" w14:textId="77777777" w:rsidR="00F12BE8" w:rsidRPr="004B7EE5" w:rsidRDefault="00287AAA" w:rsidP="00BE13A7">
            <w:pPr>
              <w:ind w:left="720"/>
              <w:rPr>
                <w:b/>
              </w:rPr>
            </w:pPr>
            <w:r w:rsidRPr="004B7EE5">
              <w:rPr>
                <w:b/>
              </w:rPr>
              <w:t>T</w:t>
            </w:r>
            <w:r w:rsidR="002B38C7" w:rsidRPr="004B7EE5">
              <w:rPr>
                <w:b/>
              </w:rPr>
              <w:t xml:space="preserve">he potential severity is </w:t>
            </w:r>
            <w:r w:rsidR="00F12BE8" w:rsidRPr="004B7EE5">
              <w:rPr>
                <w:b/>
              </w:rPr>
              <w:t xml:space="preserve">very </w:t>
            </w:r>
            <w:r w:rsidR="002B38C7" w:rsidRPr="004B7EE5">
              <w:rPr>
                <w:b/>
              </w:rPr>
              <w:t>high</w:t>
            </w:r>
            <w:r w:rsidRPr="004B7EE5">
              <w:rPr>
                <w:b/>
              </w:rPr>
              <w:t xml:space="preserve"> (</w:t>
            </w:r>
            <w:r w:rsidR="005E5BFE" w:rsidRPr="004B7EE5">
              <w:rPr>
                <w:b/>
              </w:rPr>
              <w:t>death)</w:t>
            </w:r>
            <w:r w:rsidRPr="004B7EE5">
              <w:rPr>
                <w:b/>
              </w:rPr>
              <w:t>.</w:t>
            </w:r>
            <w:r w:rsidR="005E5BFE" w:rsidRPr="004B7EE5">
              <w:rPr>
                <w:b/>
              </w:rPr>
              <w:t xml:space="preserve"> </w:t>
            </w:r>
          </w:p>
          <w:p w14:paraId="7FDE18BC" w14:textId="2A192566" w:rsidR="004B7EE5" w:rsidRDefault="004B7EE5" w:rsidP="003A158C">
            <w:pPr>
              <w:numPr>
                <w:ilvl w:val="0"/>
                <w:numId w:val="2"/>
              </w:numPr>
              <w:rPr>
                <w:bCs/>
              </w:rPr>
            </w:pPr>
            <w:r>
              <w:rPr>
                <w:bCs/>
              </w:rPr>
              <w:t xml:space="preserve">The risk of injury due to </w:t>
            </w:r>
            <w:r w:rsidR="00765292">
              <w:rPr>
                <w:bCs/>
              </w:rPr>
              <w:t xml:space="preserve">exposure to </w:t>
            </w:r>
            <w:r>
              <w:rPr>
                <w:bCs/>
              </w:rPr>
              <w:t>the solvents is low to medium, as the toxic hazards of inhalation and skin contact are minimised by careful handling and proper use of PPE. The risk of injury due to a solvent fire is minimal, as the quantities of solvent used are low</w:t>
            </w:r>
            <w:r w:rsidR="007F6E8C">
              <w:rPr>
                <w:bCs/>
              </w:rPr>
              <w:t xml:space="preserve"> (&lt;5 ml)</w:t>
            </w:r>
            <w:r w:rsidR="00A65257">
              <w:rPr>
                <w:bCs/>
              </w:rPr>
              <w:t>. The potential severity of both exposure and fire is low given the small volumes used and is dependent on the solvent itself – users should make themselves aware of any hazards of the specific solvent used.</w:t>
            </w:r>
          </w:p>
          <w:p w14:paraId="0667E8EC" w14:textId="77777777" w:rsidR="004B7EE5" w:rsidRPr="00A65257" w:rsidRDefault="00A65257" w:rsidP="000C0D72">
            <w:pPr>
              <w:numPr>
                <w:ilvl w:val="0"/>
                <w:numId w:val="2"/>
              </w:numPr>
              <w:rPr>
                <w:bCs/>
              </w:rPr>
            </w:pPr>
            <w:r w:rsidRPr="00A65257">
              <w:rPr>
                <w:bCs/>
              </w:rPr>
              <w:t>The risk of injury due to nanoparticles and microparticles is low, as exposure to these particles should only occur while they are in a colloidal suspension</w:t>
            </w:r>
            <w:r>
              <w:rPr>
                <w:bCs/>
              </w:rPr>
              <w:t xml:space="preserve">, </w:t>
            </w:r>
            <w:r w:rsidR="00202161">
              <w:rPr>
                <w:bCs/>
              </w:rPr>
              <w:t>and any risks are avoided with proper use of PPE</w:t>
            </w:r>
            <w:r w:rsidRPr="00A65257">
              <w:rPr>
                <w:bCs/>
              </w:rPr>
              <w:t>. However, these colloids could form aerosols, which could be harmful if inhaled depending on the solvent and particles involved</w:t>
            </w:r>
            <w:r>
              <w:rPr>
                <w:bCs/>
              </w:rPr>
              <w:t>. The potential severity is low, but dependent on the particles used</w:t>
            </w:r>
            <w:r w:rsidRPr="00A65257">
              <w:rPr>
                <w:bCs/>
              </w:rPr>
              <w:t xml:space="preserve"> – users should make themselves aware of any hazards of the specific nano- or microparticles used.</w:t>
            </w:r>
          </w:p>
          <w:p w14:paraId="5B5F6CB1" w14:textId="77777777" w:rsidR="00170CBB" w:rsidRDefault="00170CBB" w:rsidP="00170CBB">
            <w:pPr>
              <w:numPr>
                <w:ilvl w:val="0"/>
                <w:numId w:val="2"/>
              </w:numPr>
              <w:rPr>
                <w:bCs/>
              </w:rPr>
            </w:pPr>
            <w:r>
              <w:rPr>
                <w:bCs/>
              </w:rPr>
              <w:t xml:space="preserve">Substrates are normally handled with tweezers to avoid contaminating </w:t>
            </w:r>
            <w:r w:rsidR="002B0526">
              <w:rPr>
                <w:bCs/>
              </w:rPr>
              <w:t xml:space="preserve">or damaging </w:t>
            </w:r>
            <w:r>
              <w:rPr>
                <w:bCs/>
              </w:rPr>
              <w:t xml:space="preserve">them; thus, the risk of cuts is low. </w:t>
            </w:r>
            <w:r w:rsidR="002B0526">
              <w:rPr>
                <w:bCs/>
              </w:rPr>
              <w:t>Since the sharp objects in question are very small, the potential severity of a cut from them is inherently limited.</w:t>
            </w:r>
          </w:p>
          <w:p w14:paraId="76D99CA9" w14:textId="77777777" w:rsidR="00170CBB" w:rsidRPr="00170CBB" w:rsidRDefault="00170CBB" w:rsidP="00170CBB">
            <w:pPr>
              <w:rPr>
                <w:bCs/>
              </w:rPr>
            </w:pPr>
          </w:p>
        </w:tc>
      </w:tr>
      <w:tr w:rsidR="00545E36" w14:paraId="73F9A065"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5BF9E74" w14:textId="77777777" w:rsidR="00545E36" w:rsidRDefault="00545E36">
            <w:pPr>
              <w:rPr>
                <w:b/>
                <w:bCs/>
              </w:rPr>
            </w:pPr>
            <w:r>
              <w:rPr>
                <w:b/>
                <w:bCs/>
              </w:rPr>
              <w:t>Who is at risk?</w:t>
            </w:r>
          </w:p>
          <w:p w14:paraId="232E7998" w14:textId="77777777" w:rsidR="00AB33C1" w:rsidRDefault="00AB33C1">
            <w:pPr>
              <w:rPr>
                <w:bCs/>
              </w:rPr>
            </w:pPr>
          </w:p>
          <w:p w14:paraId="48FB9190" w14:textId="77777777" w:rsidR="00202161" w:rsidRDefault="00202161" w:rsidP="00202161">
            <w:pPr>
              <w:numPr>
                <w:ilvl w:val="0"/>
                <w:numId w:val="10"/>
              </w:numPr>
              <w:rPr>
                <w:bCs/>
              </w:rPr>
            </w:pPr>
            <w:r>
              <w:rPr>
                <w:bCs/>
              </w:rPr>
              <w:t>Only research workers using the apparatus.</w:t>
            </w:r>
          </w:p>
          <w:p w14:paraId="760C16E1" w14:textId="77777777" w:rsidR="00202161" w:rsidRDefault="00202161" w:rsidP="00202161">
            <w:pPr>
              <w:numPr>
                <w:ilvl w:val="0"/>
                <w:numId w:val="10"/>
              </w:numPr>
              <w:rPr>
                <w:bCs/>
              </w:rPr>
            </w:pPr>
            <w:r w:rsidRPr="00202161">
              <w:rPr>
                <w:bCs/>
              </w:rPr>
              <w:t>Research workers using the apparatus and anyone else working nearby</w:t>
            </w:r>
            <w:r>
              <w:rPr>
                <w:bCs/>
              </w:rPr>
              <w:t>.</w:t>
            </w:r>
          </w:p>
          <w:p w14:paraId="48D6A036" w14:textId="77777777" w:rsidR="00202161" w:rsidRDefault="00202161" w:rsidP="00202161">
            <w:pPr>
              <w:numPr>
                <w:ilvl w:val="0"/>
                <w:numId w:val="10"/>
              </w:numPr>
              <w:rPr>
                <w:bCs/>
              </w:rPr>
            </w:pPr>
            <w:r w:rsidRPr="00202161">
              <w:rPr>
                <w:bCs/>
              </w:rPr>
              <w:t>Research workers using the apparatus and anyone else working nearby.</w:t>
            </w:r>
          </w:p>
          <w:p w14:paraId="6CCD15CD" w14:textId="77777777" w:rsidR="00202161" w:rsidRPr="00765292" w:rsidRDefault="00202161" w:rsidP="000C0D72">
            <w:pPr>
              <w:numPr>
                <w:ilvl w:val="0"/>
                <w:numId w:val="10"/>
              </w:numPr>
              <w:rPr>
                <w:bCs/>
              </w:rPr>
            </w:pPr>
            <w:r w:rsidRPr="00765292">
              <w:rPr>
                <w:bCs/>
              </w:rPr>
              <w:t>Only research workers using the apparatus.</w:t>
            </w:r>
          </w:p>
          <w:p w14:paraId="12CA3FAE" w14:textId="77777777" w:rsidR="00545E36" w:rsidRDefault="00545E36" w:rsidP="00202161">
            <w:pPr>
              <w:rPr>
                <w:b/>
                <w:bCs/>
              </w:rPr>
            </w:pPr>
          </w:p>
        </w:tc>
      </w:tr>
      <w:tr w:rsidR="00545E36" w14:paraId="01FEFE83"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4A8B26A5" w14:textId="77777777" w:rsidR="00545E36" w:rsidRDefault="00545E36">
            <w:pPr>
              <w:rPr>
                <w:b/>
                <w:bCs/>
              </w:rPr>
            </w:pPr>
            <w:r>
              <w:rPr>
                <w:b/>
                <w:bCs/>
              </w:rPr>
              <w:t>Measure to be taken to reduce the level of risk:</w:t>
            </w:r>
          </w:p>
          <w:p w14:paraId="57566DC5" w14:textId="77777777" w:rsidR="00545E36" w:rsidRPr="002B38C7" w:rsidRDefault="00545E36">
            <w:pPr>
              <w:rPr>
                <w:bCs/>
              </w:rPr>
            </w:pPr>
          </w:p>
          <w:p w14:paraId="29BDF2A3" w14:textId="77777777" w:rsidR="00202161" w:rsidRDefault="00202161" w:rsidP="00AE193C">
            <w:pPr>
              <w:numPr>
                <w:ilvl w:val="0"/>
                <w:numId w:val="3"/>
              </w:numPr>
              <w:rPr>
                <w:bCs/>
              </w:rPr>
            </w:pPr>
            <w:r>
              <w:rPr>
                <w:bCs/>
              </w:rPr>
              <w:t>The apparatus must not be touched while high voltages are being applied, and the grounding to the apparatus must not be disconnected. The interlock must not be defeated. At the end of deposition, the system must be left for at least one minute after the power supply has been turned off to allow for the static charge to dissipate.</w:t>
            </w:r>
          </w:p>
          <w:p w14:paraId="77122968" w14:textId="59A4B294" w:rsidR="00202161" w:rsidRDefault="002B38C7" w:rsidP="00202161">
            <w:pPr>
              <w:ind w:left="720"/>
              <w:rPr>
                <w:bCs/>
              </w:rPr>
            </w:pPr>
            <w:r w:rsidRPr="002B38C7">
              <w:rPr>
                <w:bCs/>
              </w:rPr>
              <w:t xml:space="preserve">All electrical items </w:t>
            </w:r>
            <w:r w:rsidR="00603C38">
              <w:rPr>
                <w:bCs/>
              </w:rPr>
              <w:t>must</w:t>
            </w:r>
            <w:r w:rsidRPr="002B38C7">
              <w:rPr>
                <w:bCs/>
              </w:rPr>
              <w:t xml:space="preserve"> be operated with no hazardous voltages accessible to users, and </w:t>
            </w:r>
            <w:r w:rsidR="002B0526">
              <w:rPr>
                <w:bCs/>
              </w:rPr>
              <w:t xml:space="preserve">repair and </w:t>
            </w:r>
            <w:r w:rsidRPr="002B38C7">
              <w:rPr>
                <w:bCs/>
              </w:rPr>
              <w:t xml:space="preserve">maintenance of equipment </w:t>
            </w:r>
            <w:r w:rsidR="00603C38">
              <w:rPr>
                <w:bCs/>
              </w:rPr>
              <w:t>must</w:t>
            </w:r>
            <w:r w:rsidRPr="002B38C7">
              <w:rPr>
                <w:bCs/>
              </w:rPr>
              <w:t xml:space="preserve"> be performed </w:t>
            </w:r>
            <w:r w:rsidR="002B0526">
              <w:rPr>
                <w:bCs/>
              </w:rPr>
              <w:t xml:space="preserve">by a competent person, </w:t>
            </w:r>
            <w:r w:rsidR="00603C38">
              <w:rPr>
                <w:bCs/>
              </w:rPr>
              <w:t xml:space="preserve">and </w:t>
            </w:r>
            <w:r w:rsidRPr="002B38C7">
              <w:rPr>
                <w:bCs/>
              </w:rPr>
              <w:t xml:space="preserve">with electrical power </w:t>
            </w:r>
            <w:r w:rsidR="002F4236">
              <w:rPr>
                <w:bCs/>
              </w:rPr>
              <w:t xml:space="preserve">completely </w:t>
            </w:r>
            <w:r w:rsidRPr="002B38C7">
              <w:rPr>
                <w:bCs/>
              </w:rPr>
              <w:t>disconnected</w:t>
            </w:r>
            <w:r w:rsidR="002B0526" w:rsidRPr="002B38C7">
              <w:rPr>
                <w:bCs/>
              </w:rPr>
              <w:t xml:space="preserve"> wherever</w:t>
            </w:r>
            <w:r w:rsidR="00603C38">
              <w:rPr>
                <w:bCs/>
              </w:rPr>
              <w:t xml:space="preserve"> technically</w:t>
            </w:r>
            <w:r w:rsidR="002B0526" w:rsidRPr="002B38C7">
              <w:rPr>
                <w:bCs/>
              </w:rPr>
              <w:t xml:space="preserve"> possible</w:t>
            </w:r>
            <w:r w:rsidR="00AE193C">
              <w:rPr>
                <w:bCs/>
              </w:rPr>
              <w:t>.</w:t>
            </w:r>
            <w:r w:rsidR="0099233E">
              <w:rPr>
                <w:bCs/>
              </w:rPr>
              <w:t xml:space="preserve"> </w:t>
            </w:r>
            <w:r w:rsidR="00B971F9">
              <w:rPr>
                <w:bCs/>
              </w:rPr>
              <w:t>Metal casings and other e</w:t>
            </w:r>
            <w:r w:rsidR="002B0526">
              <w:rPr>
                <w:bCs/>
              </w:rPr>
              <w:t xml:space="preserve">xposed parts of </w:t>
            </w:r>
            <w:r w:rsidR="00B971F9">
              <w:rPr>
                <w:bCs/>
              </w:rPr>
              <w:t xml:space="preserve">electrical </w:t>
            </w:r>
            <w:r w:rsidR="0099233E">
              <w:rPr>
                <w:bCs/>
              </w:rPr>
              <w:t xml:space="preserve">apparatus </w:t>
            </w:r>
            <w:r w:rsidR="00603C38">
              <w:rPr>
                <w:bCs/>
              </w:rPr>
              <w:t>must</w:t>
            </w:r>
            <w:r w:rsidR="0099233E">
              <w:rPr>
                <w:bCs/>
              </w:rPr>
              <w:t xml:space="preserve"> be </w:t>
            </w:r>
            <w:r w:rsidR="007F6E8C">
              <w:rPr>
                <w:bCs/>
              </w:rPr>
              <w:t>connected firmly</w:t>
            </w:r>
            <w:r w:rsidR="0099233E">
              <w:rPr>
                <w:bCs/>
              </w:rPr>
              <w:t xml:space="preserve"> to earth</w:t>
            </w:r>
            <w:r w:rsidR="002F4236">
              <w:rPr>
                <w:bCs/>
              </w:rPr>
              <w:t xml:space="preserve"> </w:t>
            </w:r>
            <w:r w:rsidR="00E208F3">
              <w:rPr>
                <w:bCs/>
              </w:rPr>
              <w:t xml:space="preserve">ground </w:t>
            </w:r>
            <w:r w:rsidR="002F4236">
              <w:rPr>
                <w:bCs/>
              </w:rPr>
              <w:t>to guard against possible</w:t>
            </w:r>
            <w:r w:rsidR="00E208F3">
              <w:rPr>
                <w:bCs/>
              </w:rPr>
              <w:t xml:space="preserve"> dangerous faults</w:t>
            </w:r>
            <w:r w:rsidR="0099233E">
              <w:rPr>
                <w:bCs/>
              </w:rPr>
              <w:t>.</w:t>
            </w:r>
            <w:r w:rsidR="00202161">
              <w:rPr>
                <w:bCs/>
              </w:rPr>
              <w:t xml:space="preserve"> See reference 1.</w:t>
            </w:r>
          </w:p>
          <w:p w14:paraId="0ECB84F4" w14:textId="77777777" w:rsidR="00202161" w:rsidRPr="00202161" w:rsidRDefault="00202161" w:rsidP="00202161">
            <w:pPr>
              <w:ind w:left="720"/>
              <w:rPr>
                <w:b/>
              </w:rPr>
            </w:pPr>
            <w:r w:rsidRPr="007F6E8C">
              <w:rPr>
                <w:b/>
                <w:highlight w:val="yellow"/>
              </w:rPr>
              <w:t>While high voltages are being applied, the apparatus must not be left unattended.</w:t>
            </w:r>
          </w:p>
          <w:p w14:paraId="30B83605" w14:textId="77777777" w:rsidR="00202161" w:rsidRDefault="00765292" w:rsidP="00C11F8F">
            <w:pPr>
              <w:numPr>
                <w:ilvl w:val="0"/>
                <w:numId w:val="3"/>
              </w:numPr>
              <w:rPr>
                <w:bCs/>
              </w:rPr>
            </w:pPr>
            <w:r>
              <w:rPr>
                <w:bCs/>
              </w:rPr>
              <w:t>Minimal quantities of solvent must be used and should only be used in well-ventilated areas away from potential sources of ignition. Spills must be cleaned up promptly. Bulk solvents must be stored in a suitable solvent cabinet, and wash bottles are to be of the vapour-venting type and stored appropriately. Protective gloves should preferably be worn to avoid skin irritation, and this is mandatory when the solvent used is methanol due to its established percutaneous toxicity. MSDS for the solvent being used must be read by the user. See also references 2 and 3.</w:t>
            </w:r>
          </w:p>
          <w:p w14:paraId="25FD2C31" w14:textId="77777777" w:rsidR="00202161" w:rsidRDefault="00765292" w:rsidP="00C11F8F">
            <w:pPr>
              <w:numPr>
                <w:ilvl w:val="0"/>
                <w:numId w:val="3"/>
              </w:numPr>
              <w:rPr>
                <w:bCs/>
              </w:rPr>
            </w:pPr>
            <w:r>
              <w:rPr>
                <w:bCs/>
              </w:rPr>
              <w:t xml:space="preserve">Dry nano- and microparticles should only be handled in a glove box, and this is mandatory if there are any inhalation or percutaneous hazards on the MSDS for the particles. </w:t>
            </w:r>
            <w:r w:rsidR="000733D8">
              <w:rPr>
                <w:bCs/>
              </w:rPr>
              <w:t>Spills must be cleaned up promptly. Protective gloves must be worn when handling colloidal suspensions, and they should only be handled in well-ventilated areas.</w:t>
            </w:r>
          </w:p>
          <w:p w14:paraId="7C952D7D" w14:textId="77777777" w:rsidR="00545E36" w:rsidRPr="000733D8" w:rsidRDefault="008457D6" w:rsidP="000733D8">
            <w:pPr>
              <w:numPr>
                <w:ilvl w:val="0"/>
                <w:numId w:val="3"/>
              </w:numPr>
              <w:rPr>
                <w:bCs/>
              </w:rPr>
            </w:pPr>
            <w:r>
              <w:rPr>
                <w:bCs/>
              </w:rPr>
              <w:t xml:space="preserve">No further measures deemed necessary. If a cut is sustained, it </w:t>
            </w:r>
            <w:r w:rsidR="000733D8">
              <w:rPr>
                <w:bCs/>
              </w:rPr>
              <w:t>is</w:t>
            </w:r>
            <w:r>
              <w:rPr>
                <w:bCs/>
              </w:rPr>
              <w:t xml:space="preserve"> sufficient to wash with water (</w:t>
            </w:r>
            <w:r w:rsidR="00D307E2">
              <w:rPr>
                <w:bCs/>
              </w:rPr>
              <w:t xml:space="preserve">and </w:t>
            </w:r>
            <w:r>
              <w:rPr>
                <w:bCs/>
              </w:rPr>
              <w:t>optionally ethanol</w:t>
            </w:r>
            <w:r w:rsidR="00D307E2">
              <w:rPr>
                <w:bCs/>
              </w:rPr>
              <w:t xml:space="preserve"> or </w:t>
            </w:r>
            <w:r>
              <w:rPr>
                <w:bCs/>
              </w:rPr>
              <w:lastRenderedPageBreak/>
              <w:t>isopropanol) and apply a sticking plaster.</w:t>
            </w:r>
          </w:p>
        </w:tc>
      </w:tr>
      <w:tr w:rsidR="00545E36" w14:paraId="0FA75C44"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E76A2DC" w14:textId="77777777" w:rsidR="00545E36" w:rsidRDefault="00545E36">
            <w:pPr>
              <w:rPr>
                <w:b/>
                <w:bCs/>
              </w:rPr>
            </w:pPr>
            <w:r>
              <w:rPr>
                <w:b/>
                <w:bCs/>
              </w:rPr>
              <w:lastRenderedPageBreak/>
              <w:t>Training prerequisites:</w:t>
            </w:r>
          </w:p>
          <w:p w14:paraId="18529F67" w14:textId="77777777" w:rsidR="00545E36" w:rsidRPr="00F5162C" w:rsidRDefault="00545E36">
            <w:pPr>
              <w:rPr>
                <w:bCs/>
              </w:rPr>
            </w:pPr>
          </w:p>
          <w:p w14:paraId="34B9F5DB" w14:textId="77777777" w:rsidR="000733D8" w:rsidRDefault="00242C86">
            <w:pPr>
              <w:rPr>
                <w:bCs/>
              </w:rPr>
            </w:pPr>
            <w:r>
              <w:rPr>
                <w:bCs/>
              </w:rPr>
              <w:t xml:space="preserve">As required in the references. </w:t>
            </w:r>
          </w:p>
          <w:p w14:paraId="5D199851" w14:textId="2FE22066" w:rsidR="00545E36" w:rsidRPr="000733D8" w:rsidRDefault="00F5162C">
            <w:pPr>
              <w:rPr>
                <w:b/>
              </w:rPr>
            </w:pPr>
            <w:r w:rsidRPr="000733D8">
              <w:rPr>
                <w:b/>
                <w:u w:val="single"/>
              </w:rPr>
              <w:t xml:space="preserve">Untrained persons </w:t>
            </w:r>
            <w:r w:rsidR="00242C86" w:rsidRPr="000733D8">
              <w:rPr>
                <w:b/>
                <w:u w:val="single"/>
              </w:rPr>
              <w:t xml:space="preserve">must </w:t>
            </w:r>
            <w:r w:rsidR="007F6E8C">
              <w:rPr>
                <w:b/>
                <w:u w:val="single"/>
              </w:rPr>
              <w:t>never</w:t>
            </w:r>
            <w:r w:rsidR="00242C86" w:rsidRPr="000733D8">
              <w:rPr>
                <w:b/>
                <w:u w:val="single"/>
              </w:rPr>
              <w:t xml:space="preserve"> </w:t>
            </w:r>
            <w:r w:rsidR="000733D8">
              <w:rPr>
                <w:b/>
                <w:u w:val="single"/>
              </w:rPr>
              <w:t>use</w:t>
            </w:r>
            <w:r w:rsidR="004B25E1" w:rsidRPr="000733D8">
              <w:rPr>
                <w:b/>
                <w:u w:val="single"/>
              </w:rPr>
              <w:t xml:space="preserve"> the </w:t>
            </w:r>
            <w:r w:rsidR="000733D8">
              <w:rPr>
                <w:b/>
                <w:u w:val="single"/>
              </w:rPr>
              <w:t>apparatus</w:t>
            </w:r>
            <w:r w:rsidR="004B59C2" w:rsidRPr="000733D8">
              <w:rPr>
                <w:b/>
                <w:u w:val="single"/>
              </w:rPr>
              <w:t>.</w:t>
            </w:r>
          </w:p>
          <w:p w14:paraId="39F53963" w14:textId="77777777" w:rsidR="00545E36" w:rsidRDefault="00545E36">
            <w:pPr>
              <w:rPr>
                <w:b/>
                <w:bCs/>
              </w:rPr>
            </w:pPr>
          </w:p>
        </w:tc>
      </w:tr>
      <w:tr w:rsidR="00545E36" w14:paraId="5DD5C461"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28B5341" w14:textId="77777777" w:rsidR="00545E36" w:rsidRDefault="00545E36">
            <w:pPr>
              <w:rPr>
                <w:b/>
                <w:bCs/>
              </w:rPr>
            </w:pPr>
            <w:r w:rsidRPr="00FE76FD">
              <w:rPr>
                <w:b/>
                <w:bCs/>
              </w:rPr>
              <w:t>Level of risk remaining</w:t>
            </w:r>
            <w:r>
              <w:rPr>
                <w:b/>
                <w:bCs/>
              </w:rPr>
              <w:t>:</w:t>
            </w:r>
          </w:p>
          <w:p w14:paraId="5605A114" w14:textId="77777777" w:rsidR="00545E36" w:rsidRPr="00F5162C" w:rsidRDefault="00545E36">
            <w:pPr>
              <w:rPr>
                <w:bCs/>
              </w:rPr>
            </w:pPr>
          </w:p>
          <w:p w14:paraId="31016C82" w14:textId="77777777" w:rsidR="00545E36" w:rsidRPr="00F5162C" w:rsidRDefault="000733D8">
            <w:pPr>
              <w:rPr>
                <w:bCs/>
              </w:rPr>
            </w:pPr>
            <w:r>
              <w:rPr>
                <w:bCs/>
              </w:rPr>
              <w:t>Low</w:t>
            </w:r>
            <w:r w:rsidR="00F5162C">
              <w:rPr>
                <w:bCs/>
              </w:rPr>
              <w:t xml:space="preserve">, barring </w:t>
            </w:r>
            <w:r w:rsidR="00C36927">
              <w:rPr>
                <w:bCs/>
              </w:rPr>
              <w:t>negligent behaviour.</w:t>
            </w:r>
          </w:p>
          <w:p w14:paraId="1EAC94D0" w14:textId="77777777" w:rsidR="00545E36" w:rsidRDefault="00545E36">
            <w:pPr>
              <w:rPr>
                <w:b/>
                <w:bCs/>
              </w:rPr>
            </w:pPr>
          </w:p>
        </w:tc>
      </w:tr>
      <w:tr w:rsidR="00545E36" w14:paraId="2047E8BF"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CDBAEC1" w14:textId="77777777" w:rsidR="00545E36" w:rsidRDefault="00FE76FD">
            <w:pPr>
              <w:rPr>
                <w:b/>
                <w:bCs/>
              </w:rPr>
            </w:pPr>
            <w:r>
              <w:rPr>
                <w:b/>
                <w:bCs/>
              </w:rPr>
              <w:t>A</w:t>
            </w:r>
            <w:r w:rsidR="00545E36">
              <w:rPr>
                <w:b/>
                <w:bCs/>
              </w:rPr>
              <w:t>ction</w:t>
            </w:r>
            <w:r>
              <w:rPr>
                <w:b/>
                <w:bCs/>
              </w:rPr>
              <w:t xml:space="preserve"> to be taken in an emergency</w:t>
            </w:r>
            <w:r w:rsidR="00545E36">
              <w:rPr>
                <w:b/>
                <w:bCs/>
              </w:rPr>
              <w:t>:</w:t>
            </w:r>
          </w:p>
          <w:p w14:paraId="42CC0312" w14:textId="1101BB7B" w:rsidR="00545E36" w:rsidRDefault="00545E36">
            <w:pPr>
              <w:rPr>
                <w:bCs/>
              </w:rPr>
            </w:pPr>
          </w:p>
          <w:p w14:paraId="0A8209AC" w14:textId="019BAC82" w:rsidR="007F6E8C" w:rsidRDefault="007F6E8C">
            <w:pPr>
              <w:rPr>
                <w:bCs/>
              </w:rPr>
            </w:pPr>
            <w:r>
              <w:rPr>
                <w:bCs/>
              </w:rPr>
              <w:t xml:space="preserve">Turn off power to high-voltage supply at mains plug. </w:t>
            </w:r>
          </w:p>
          <w:p w14:paraId="4C35B1BF" w14:textId="77777777" w:rsidR="007F6E8C" w:rsidRPr="00F5162C" w:rsidRDefault="007F6E8C">
            <w:pPr>
              <w:rPr>
                <w:bCs/>
              </w:rPr>
            </w:pPr>
          </w:p>
          <w:p w14:paraId="279EA52E" w14:textId="77777777" w:rsidR="006076C0" w:rsidRDefault="006076C0">
            <w:pPr>
              <w:rPr>
                <w:bCs/>
              </w:rPr>
            </w:pPr>
            <w:r>
              <w:rPr>
                <w:bCs/>
              </w:rPr>
              <w:t>IN CASE OF INJURY</w:t>
            </w:r>
            <w:r w:rsidR="00BF2418">
              <w:rPr>
                <w:bCs/>
              </w:rPr>
              <w:t xml:space="preserve">, </w:t>
            </w:r>
            <w:r>
              <w:rPr>
                <w:bCs/>
              </w:rPr>
              <w:t xml:space="preserve">perform first aid if trained or </w:t>
            </w:r>
            <w:r w:rsidR="00BF2418">
              <w:rPr>
                <w:bCs/>
              </w:rPr>
              <w:t xml:space="preserve">contact a </w:t>
            </w:r>
            <w:r>
              <w:rPr>
                <w:bCs/>
              </w:rPr>
              <w:t xml:space="preserve">designated </w:t>
            </w:r>
            <w:r w:rsidR="00BF2418">
              <w:rPr>
                <w:bCs/>
              </w:rPr>
              <w:t>first aider</w:t>
            </w:r>
            <w:r>
              <w:rPr>
                <w:bCs/>
              </w:rPr>
              <w:t>.</w:t>
            </w:r>
            <w:r w:rsidR="00BF2418">
              <w:rPr>
                <w:bCs/>
              </w:rPr>
              <w:t xml:space="preserve"> (</w:t>
            </w:r>
            <w:r>
              <w:rPr>
                <w:bCs/>
              </w:rPr>
              <w:t xml:space="preserve">A current </w:t>
            </w:r>
            <w:r w:rsidR="00BF2418">
              <w:rPr>
                <w:bCs/>
              </w:rPr>
              <w:t xml:space="preserve">list is provided </w:t>
            </w:r>
            <w:r w:rsidR="00031D33">
              <w:rPr>
                <w:bCs/>
              </w:rPr>
              <w:t>at the Porter’s Lodge</w:t>
            </w:r>
            <w:r w:rsidR="00BF2418">
              <w:rPr>
                <w:bCs/>
              </w:rPr>
              <w:t>).</w:t>
            </w:r>
            <w:r>
              <w:rPr>
                <w:bCs/>
              </w:rPr>
              <w:t xml:space="preserve"> </w:t>
            </w:r>
            <w:r w:rsidR="00EE23EE">
              <w:rPr>
                <w:bCs/>
              </w:rPr>
              <w:t>If necessary</w:t>
            </w:r>
            <w:r>
              <w:rPr>
                <w:bCs/>
              </w:rPr>
              <w:t xml:space="preserve">, </w:t>
            </w:r>
            <w:r w:rsidR="00EE23EE">
              <w:rPr>
                <w:bCs/>
              </w:rPr>
              <w:t xml:space="preserve">also </w:t>
            </w:r>
            <w:r>
              <w:rPr>
                <w:bCs/>
              </w:rPr>
              <w:t>contact security on extension 112233 (</w:t>
            </w:r>
            <w:r w:rsidRPr="006076C0">
              <w:rPr>
                <w:bCs/>
              </w:rPr>
              <w:t>0117 331 1223</w:t>
            </w:r>
            <w:r>
              <w:rPr>
                <w:bCs/>
              </w:rPr>
              <w:t>) to call for an ambulance.</w:t>
            </w:r>
            <w:r w:rsidR="000733D8">
              <w:rPr>
                <w:bCs/>
              </w:rPr>
              <w:t xml:space="preserve"> </w:t>
            </w:r>
          </w:p>
          <w:p w14:paraId="0C338ECF" w14:textId="77777777" w:rsidR="006076C0" w:rsidRDefault="006076C0">
            <w:pPr>
              <w:rPr>
                <w:bCs/>
              </w:rPr>
            </w:pPr>
          </w:p>
          <w:p w14:paraId="30FA5E69" w14:textId="77777777" w:rsidR="006076C0" w:rsidRDefault="006076C0">
            <w:pPr>
              <w:rPr>
                <w:bCs/>
              </w:rPr>
            </w:pPr>
            <w:r>
              <w:rPr>
                <w:bCs/>
              </w:rPr>
              <w:t>IN CASE OF FIRE, use a carbon dioxide fire extinguisher, one of which is provided in the laboratory next to the apparatus; two more are located in the corridor</w:t>
            </w:r>
            <w:r w:rsidR="00D91E31">
              <w:rPr>
                <w:bCs/>
              </w:rPr>
              <w:t xml:space="preserve"> near to the door</w:t>
            </w:r>
            <w:r>
              <w:rPr>
                <w:bCs/>
              </w:rPr>
              <w:t xml:space="preserve"> from which one enters S111. A water fire extinguisher is also available in the corridor if required. If the fire is too large to deal with in this way, evacuate the affected area, </w:t>
            </w:r>
            <w:r w:rsidR="00D91E31">
              <w:rPr>
                <w:bCs/>
              </w:rPr>
              <w:t>raise</w:t>
            </w:r>
            <w:r>
              <w:rPr>
                <w:bCs/>
              </w:rPr>
              <w:t xml:space="preserve"> the fire alarm, and contact security on extension 112233 (</w:t>
            </w:r>
            <w:r w:rsidRPr="006076C0">
              <w:rPr>
                <w:bCs/>
              </w:rPr>
              <w:t>0117 331 1223</w:t>
            </w:r>
            <w:r>
              <w:rPr>
                <w:bCs/>
              </w:rPr>
              <w:t>) to call the fire brigade.</w:t>
            </w:r>
          </w:p>
          <w:p w14:paraId="1004B95D" w14:textId="77777777" w:rsidR="00545E36" w:rsidRDefault="00545E36" w:rsidP="000733D8">
            <w:pPr>
              <w:rPr>
                <w:b/>
                <w:bCs/>
              </w:rPr>
            </w:pPr>
          </w:p>
        </w:tc>
      </w:tr>
      <w:tr w:rsidR="00545E36" w14:paraId="55C3D952"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01B8B790" w14:textId="77777777" w:rsidR="00545E36" w:rsidRDefault="00545E36">
            <w:pPr>
              <w:rPr>
                <w:b/>
                <w:bCs/>
              </w:rPr>
            </w:pPr>
            <w:r>
              <w:rPr>
                <w:b/>
                <w:bCs/>
              </w:rPr>
              <w:t>References:</w:t>
            </w:r>
          </w:p>
          <w:p w14:paraId="2666D06D" w14:textId="77777777" w:rsidR="00545E36" w:rsidRDefault="00545E36" w:rsidP="00FF0D35"/>
          <w:p w14:paraId="5156B985" w14:textId="77777777" w:rsidR="00721C41" w:rsidRDefault="00721C41" w:rsidP="00FF0D35">
            <w:r>
              <w:t>The following constitute an integral part of this risk assessment and must be reviewed along with the above.</w:t>
            </w:r>
          </w:p>
          <w:p w14:paraId="0717FE95" w14:textId="77777777" w:rsidR="00721C41" w:rsidRDefault="00721C41" w:rsidP="00FF0D35"/>
          <w:p w14:paraId="3E8E56BF" w14:textId="77777777" w:rsidR="00ED5F31" w:rsidRDefault="00ED5F31" w:rsidP="00721C41">
            <w:r>
              <w:t>Standard School of Chemistry risk assessments</w:t>
            </w:r>
            <w:r w:rsidR="00721C41">
              <w:t xml:space="preserve"> (see </w:t>
            </w:r>
            <w:r w:rsidR="00721C41" w:rsidRPr="00721C41">
              <w:t>ht</w:t>
            </w:r>
            <w:r w:rsidR="00721C41">
              <w:t>tp://www.chm.bris.ac.uk/safety/</w:t>
            </w:r>
            <w:r w:rsidR="00721C41" w:rsidRPr="00721C41">
              <w:t>compform.htm</w:t>
            </w:r>
            <w:r w:rsidR="00721C41">
              <w:rPr>
                <w:b/>
              </w:rPr>
              <w:t>)</w:t>
            </w:r>
            <w:r>
              <w:t>:</w:t>
            </w:r>
          </w:p>
          <w:p w14:paraId="75A2B533" w14:textId="77777777" w:rsidR="00ED5F31" w:rsidRDefault="00ED5F31" w:rsidP="006177E5">
            <w:pPr>
              <w:numPr>
                <w:ilvl w:val="0"/>
                <w:numId w:val="8"/>
              </w:numPr>
            </w:pPr>
            <w:r>
              <w:t>Use of standard electrical equipment</w:t>
            </w:r>
          </w:p>
          <w:p w14:paraId="7E0E613B" w14:textId="77777777" w:rsidR="00ED5F31" w:rsidRDefault="00ED5F31" w:rsidP="004D6F77">
            <w:pPr>
              <w:numPr>
                <w:ilvl w:val="0"/>
                <w:numId w:val="8"/>
              </w:numPr>
            </w:pPr>
            <w:r w:rsidRPr="00ED5F31">
              <w:t>Transport, Storage and Use of Solvents and other Flammable Liquids</w:t>
            </w:r>
          </w:p>
          <w:p w14:paraId="08B51072" w14:textId="77777777" w:rsidR="00721C41" w:rsidRDefault="00ED5F31" w:rsidP="00F154FD">
            <w:pPr>
              <w:numPr>
                <w:ilvl w:val="0"/>
                <w:numId w:val="8"/>
              </w:numPr>
            </w:pPr>
            <w:r w:rsidRPr="00ED5F31">
              <w:t>Disposal of Waste solvents</w:t>
            </w:r>
          </w:p>
          <w:p w14:paraId="25448A35" w14:textId="77777777" w:rsidR="00041230" w:rsidRDefault="00041230" w:rsidP="00041230">
            <w:pPr>
              <w:numPr>
                <w:ilvl w:val="0"/>
                <w:numId w:val="8"/>
              </w:numPr>
            </w:pPr>
            <w:r w:rsidRPr="00ED5F31">
              <w:t>Manual Handling</w:t>
            </w:r>
          </w:p>
          <w:p w14:paraId="5176CDD9" w14:textId="77777777" w:rsidR="00545E36" w:rsidRDefault="00545E36" w:rsidP="00765292">
            <w:pPr>
              <w:ind w:left="720"/>
            </w:pPr>
          </w:p>
        </w:tc>
      </w:tr>
      <w:tr w:rsidR="00545E36" w14:paraId="65C0DF49" w14:textId="77777777" w:rsidTr="00ED5F31">
        <w:trPr>
          <w:jc w:val="center"/>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5574F04F" w14:textId="77777777" w:rsidR="00545E36" w:rsidRDefault="00545E36" w:rsidP="00F6694D">
            <w:pPr>
              <w:tabs>
                <w:tab w:val="right" w:pos="10466"/>
              </w:tabs>
              <w:rPr>
                <w:b/>
                <w:bCs/>
              </w:rPr>
            </w:pPr>
            <w:r>
              <w:rPr>
                <w:b/>
                <w:bCs/>
              </w:rPr>
              <w:t>Signature of Assessor:</w:t>
            </w:r>
            <w:r w:rsidR="00F6694D">
              <w:rPr>
                <w:b/>
                <w:bCs/>
              </w:rPr>
              <w:tab/>
              <w:t>Supervisor’s signature:</w:t>
            </w:r>
          </w:p>
          <w:p w14:paraId="0233F885" w14:textId="653B2760" w:rsidR="00ED5F31" w:rsidRDefault="007F6E8C">
            <w:pPr>
              <w:rPr>
                <w:b/>
                <w:bCs/>
              </w:rPr>
            </w:pPr>
            <w:r>
              <w:rPr>
                <w:noProof/>
              </w:rPr>
              <mc:AlternateContent>
                <mc:Choice Requires="wps">
                  <w:drawing>
                    <wp:anchor distT="45720" distB="45720" distL="114300" distR="114300" simplePos="0" relativeHeight="251659264" behindDoc="0" locked="0" layoutInCell="1" allowOverlap="1" wp14:anchorId="370B95D5" wp14:editId="3FCAE189">
                      <wp:simplePos x="0" y="0"/>
                      <wp:positionH relativeFrom="column">
                        <wp:posOffset>5806440</wp:posOffset>
                      </wp:positionH>
                      <wp:positionV relativeFrom="paragraph">
                        <wp:posOffset>92710</wp:posOffset>
                      </wp:positionV>
                      <wp:extent cx="537210" cy="51308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 cy="513080"/>
                              </a:xfrm>
                              <a:prstGeom prst="rect">
                                <a:avLst/>
                              </a:prstGeom>
                              <a:solidFill>
                                <a:srgbClr val="FFFFFF"/>
                              </a:solidFill>
                              <a:ln w="9525">
                                <a:solidFill>
                                  <a:schemeClr val="bg1">
                                    <a:lumMod val="100000"/>
                                    <a:lumOff val="0"/>
                                  </a:schemeClr>
                                </a:solidFill>
                                <a:miter lim="800000"/>
                                <a:headEnd/>
                                <a:tailEnd/>
                              </a:ln>
                            </wps:spPr>
                            <wps:txbx>
                              <w:txbxContent>
                                <w:p w14:paraId="10C6D409" w14:textId="7518D4EA" w:rsidR="007F6E8C" w:rsidRDefault="007F6E8C">
                                  <w:r w:rsidRPr="007F6E8C">
                                    <w:rPr>
                                      <w:rFonts w:cs="Arial"/>
                                      <w:noProof/>
                                      <w:color w:val="000000"/>
                                      <w:sz w:val="24"/>
                                      <w:szCs w:val="24"/>
                                      <w:shd w:val="clear" w:color="auto" w:fill="FFFFFF"/>
                                      <w:lang w:eastAsia="en-GB"/>
                                    </w:rPr>
                                    <w:drawing>
                                      <wp:inline distT="0" distB="0" distL="0" distR="0" wp14:anchorId="41B00304" wp14:editId="5267D9BC">
                                        <wp:extent cx="491490" cy="48641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 cy="486410"/>
                                                </a:xfrm>
                                                <a:prstGeom prst="rect">
                                                  <a:avLst/>
                                                </a:prstGeom>
                                                <a:noFill/>
                                                <a:ln>
                                                  <a:noFill/>
                                                </a:ln>
                                              </pic:spPr>
                                            </pic:pic>
                                          </a:graphicData>
                                        </a:graphic>
                                      </wp:inline>
                                    </w:drawing>
                                  </w:r>
                                </w:p>
                              </w:txbxContent>
                            </wps:txbx>
                            <wps:bodyPr rot="0" vert="horz" wrap="none" lIns="18000" tIns="0" rIns="18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B95D5" id="_x0000_t202" coordsize="21600,21600" o:spt="202" path="m,l,21600r21600,l21600,xe">
                      <v:stroke joinstyle="miter"/>
                      <v:path gradientshapeok="t" o:connecttype="rect"/>
                    </v:shapetype>
                    <v:shape id="Text Box 2" o:spid="_x0000_s1026" type="#_x0000_t202" style="position:absolute;margin-left:457.2pt;margin-top:7.3pt;width:42.3pt;height:40.4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" strokecolor="white [3212]">
                      <v:textbox inset=".5mm,0,.5mm,0">
                        <w:txbxContent>
                          <w:p w14:paraId="10C6D409" w14:textId="7518D4EA" w:rsidR="007F6E8C" w:rsidRDefault="007F6E8C">
                            <w:r w:rsidRPr="007F6E8C">
                              <w:rPr>
                                <w:rFonts w:cs="Arial"/>
                                <w:noProof/>
                                <w:color w:val="000000"/>
                                <w:sz w:val="24"/>
                                <w:szCs w:val="24"/>
                                <w:shd w:val="clear" w:color="auto" w:fill="FFFFFF"/>
                                <w:lang w:eastAsia="en-GB"/>
                              </w:rPr>
                              <w:drawing>
                                <wp:inline distT="0" distB="0" distL="0" distR="0" wp14:anchorId="41B00304" wp14:editId="5267D9BC">
                                  <wp:extent cx="491490" cy="48641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490" cy="486410"/>
                                          </a:xfrm>
                                          <a:prstGeom prst="rect">
                                            <a:avLst/>
                                          </a:prstGeom>
                                          <a:noFill/>
                                          <a:ln>
                                            <a:noFill/>
                                          </a:ln>
                                        </pic:spPr>
                                      </pic:pic>
                                    </a:graphicData>
                                  </a:graphic>
                                </wp:inline>
                              </w:drawing>
                            </w:r>
                          </w:p>
                        </w:txbxContent>
                      </v:textbox>
                      <w10:wrap type="square"/>
                    </v:shape>
                  </w:pict>
                </mc:Fallback>
              </mc:AlternateContent>
            </w:r>
          </w:p>
          <w:p w14:paraId="1ED1B66C" w14:textId="72373E22" w:rsidR="003D258B" w:rsidRDefault="003D258B">
            <w:pPr>
              <w:rPr>
                <w:b/>
                <w:bCs/>
              </w:rPr>
            </w:pPr>
          </w:p>
          <w:p w14:paraId="6E50183D" w14:textId="77777777" w:rsidR="00ED5F31" w:rsidRDefault="00ED5F31">
            <w:pPr>
              <w:rPr>
                <w:b/>
                <w:bCs/>
              </w:rPr>
            </w:pPr>
          </w:p>
          <w:p w14:paraId="11BEC630" w14:textId="297C0081" w:rsidR="00E51224" w:rsidRDefault="00E51224">
            <w:pPr>
              <w:rPr>
                <w:b/>
                <w:bCs/>
              </w:rPr>
            </w:pPr>
          </w:p>
          <w:p w14:paraId="5EC5D3D0" w14:textId="77777777" w:rsidR="00ED5F31" w:rsidRDefault="00ED5F31">
            <w:pPr>
              <w:rPr>
                <w:b/>
                <w:bCs/>
              </w:rPr>
            </w:pPr>
          </w:p>
          <w:p w14:paraId="665BAB20" w14:textId="77777777" w:rsidR="00ED5F31" w:rsidRPr="00ED5F31" w:rsidRDefault="002D1814" w:rsidP="00F6694D">
            <w:pPr>
              <w:tabs>
                <w:tab w:val="right" w:pos="10466"/>
              </w:tabs>
              <w:rPr>
                <w:bCs/>
              </w:rPr>
            </w:pPr>
            <w:r>
              <w:rPr>
                <w:bCs/>
              </w:rPr>
              <w:t>Edmund Smith</w:t>
            </w:r>
            <w:r w:rsidR="00F6694D">
              <w:rPr>
                <w:bCs/>
              </w:rPr>
              <w:tab/>
            </w:r>
            <w:r>
              <w:rPr>
                <w:bCs/>
              </w:rPr>
              <w:t>Paul May</w:t>
            </w:r>
          </w:p>
        </w:tc>
      </w:tr>
    </w:tbl>
    <w:p w14:paraId="3342EC9B" w14:textId="77777777" w:rsidR="00545E36" w:rsidRDefault="00545E36"/>
    <w:sectPr w:rsidR="00545E36" w:rsidSect="0001496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E9F2A" w14:textId="77777777" w:rsidR="000C0D72" w:rsidRDefault="000C0D72" w:rsidP="00AC6CB5">
      <w:r>
        <w:separator/>
      </w:r>
    </w:p>
  </w:endnote>
  <w:endnote w:type="continuationSeparator" w:id="0">
    <w:p w14:paraId="5A5316E3" w14:textId="77777777" w:rsidR="000C0D72" w:rsidRDefault="000C0D72" w:rsidP="00AC6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7BBE2B" w14:textId="77777777" w:rsidR="000C0D72" w:rsidRDefault="000C0D72" w:rsidP="00AC6CB5">
      <w:r>
        <w:separator/>
      </w:r>
    </w:p>
  </w:footnote>
  <w:footnote w:type="continuationSeparator" w:id="0">
    <w:p w14:paraId="790DC2F3" w14:textId="77777777" w:rsidR="000C0D72" w:rsidRDefault="000C0D72" w:rsidP="00AC6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B75"/>
    <w:multiLevelType w:val="hybridMultilevel"/>
    <w:tmpl w:val="16308AC8"/>
    <w:lvl w:ilvl="0" w:tplc="08090019">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D724D94"/>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3744CBB"/>
    <w:multiLevelType w:val="multilevel"/>
    <w:tmpl w:val="E7C053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35A23FD9"/>
    <w:multiLevelType w:val="hybridMultilevel"/>
    <w:tmpl w:val="069276F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3C4B451C"/>
    <w:multiLevelType w:val="hybridMultilevel"/>
    <w:tmpl w:val="F5AA033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729405E"/>
    <w:multiLevelType w:val="multilevel"/>
    <w:tmpl w:val="069276F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5452141F"/>
    <w:multiLevelType w:val="hybridMultilevel"/>
    <w:tmpl w:val="39467C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C9F77D8"/>
    <w:multiLevelType w:val="hybridMultilevel"/>
    <w:tmpl w:val="E7C0536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E783BB3"/>
    <w:multiLevelType w:val="hybridMultilevel"/>
    <w:tmpl w:val="2954D4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01F1F68"/>
    <w:multiLevelType w:val="hybridMultilevel"/>
    <w:tmpl w:val="7C6A7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0"/>
  </w:num>
  <w:num w:numId="5">
    <w:abstractNumId w:val="3"/>
  </w:num>
  <w:num w:numId="6">
    <w:abstractNumId w:val="5"/>
  </w:num>
  <w:num w:numId="7">
    <w:abstractNumId w:val="1"/>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6FD"/>
    <w:rsid w:val="00014966"/>
    <w:rsid w:val="00031D33"/>
    <w:rsid w:val="00041230"/>
    <w:rsid w:val="00071CE1"/>
    <w:rsid w:val="000733D8"/>
    <w:rsid w:val="000B48DB"/>
    <w:rsid w:val="000C0D72"/>
    <w:rsid w:val="000C2158"/>
    <w:rsid w:val="000C5810"/>
    <w:rsid w:val="000D07E8"/>
    <w:rsid w:val="000E228F"/>
    <w:rsid w:val="000F395F"/>
    <w:rsid w:val="001052BD"/>
    <w:rsid w:val="001417D9"/>
    <w:rsid w:val="00154D8A"/>
    <w:rsid w:val="00170CBB"/>
    <w:rsid w:val="00175952"/>
    <w:rsid w:val="001B075F"/>
    <w:rsid w:val="001E225A"/>
    <w:rsid w:val="001E2C19"/>
    <w:rsid w:val="00202161"/>
    <w:rsid w:val="00233EFE"/>
    <w:rsid w:val="002365A9"/>
    <w:rsid w:val="002418E1"/>
    <w:rsid w:val="00242C86"/>
    <w:rsid w:val="00244272"/>
    <w:rsid w:val="00260FFD"/>
    <w:rsid w:val="00262B1B"/>
    <w:rsid w:val="0026643A"/>
    <w:rsid w:val="00277F58"/>
    <w:rsid w:val="00283519"/>
    <w:rsid w:val="00287AAA"/>
    <w:rsid w:val="002A6153"/>
    <w:rsid w:val="002B0526"/>
    <w:rsid w:val="002B0FF8"/>
    <w:rsid w:val="002B38C7"/>
    <w:rsid w:val="002D1814"/>
    <w:rsid w:val="002E5625"/>
    <w:rsid w:val="002F4236"/>
    <w:rsid w:val="002F7538"/>
    <w:rsid w:val="003113C2"/>
    <w:rsid w:val="003276E7"/>
    <w:rsid w:val="00335BDC"/>
    <w:rsid w:val="00337146"/>
    <w:rsid w:val="003576D8"/>
    <w:rsid w:val="003639B4"/>
    <w:rsid w:val="00367FA8"/>
    <w:rsid w:val="003A158C"/>
    <w:rsid w:val="003D258B"/>
    <w:rsid w:val="003F0164"/>
    <w:rsid w:val="00424685"/>
    <w:rsid w:val="00435974"/>
    <w:rsid w:val="00460066"/>
    <w:rsid w:val="004744AE"/>
    <w:rsid w:val="004812B7"/>
    <w:rsid w:val="004953AB"/>
    <w:rsid w:val="004A2B14"/>
    <w:rsid w:val="004A77A4"/>
    <w:rsid w:val="004B25E1"/>
    <w:rsid w:val="004B59C2"/>
    <w:rsid w:val="004B7EE5"/>
    <w:rsid w:val="004D6F77"/>
    <w:rsid w:val="004E0B0E"/>
    <w:rsid w:val="00501B2E"/>
    <w:rsid w:val="00505291"/>
    <w:rsid w:val="00545E36"/>
    <w:rsid w:val="00565127"/>
    <w:rsid w:val="00573A86"/>
    <w:rsid w:val="005B4FDF"/>
    <w:rsid w:val="005D6444"/>
    <w:rsid w:val="005E3811"/>
    <w:rsid w:val="005E5BFE"/>
    <w:rsid w:val="00603C38"/>
    <w:rsid w:val="006076C0"/>
    <w:rsid w:val="00612C66"/>
    <w:rsid w:val="006177E5"/>
    <w:rsid w:val="006510B1"/>
    <w:rsid w:val="00676E66"/>
    <w:rsid w:val="006A1371"/>
    <w:rsid w:val="006D0DF9"/>
    <w:rsid w:val="006E7C3B"/>
    <w:rsid w:val="006E7CDC"/>
    <w:rsid w:val="00704320"/>
    <w:rsid w:val="00715CB0"/>
    <w:rsid w:val="00721C41"/>
    <w:rsid w:val="00743220"/>
    <w:rsid w:val="00750776"/>
    <w:rsid w:val="00765292"/>
    <w:rsid w:val="00775EF3"/>
    <w:rsid w:val="00795940"/>
    <w:rsid w:val="007A1DDA"/>
    <w:rsid w:val="007C017B"/>
    <w:rsid w:val="007D4E4B"/>
    <w:rsid w:val="007E6967"/>
    <w:rsid w:val="007F6E8C"/>
    <w:rsid w:val="00802ACF"/>
    <w:rsid w:val="0081027F"/>
    <w:rsid w:val="00834CDB"/>
    <w:rsid w:val="008457D6"/>
    <w:rsid w:val="008465F1"/>
    <w:rsid w:val="008704C6"/>
    <w:rsid w:val="00873D4B"/>
    <w:rsid w:val="00897D94"/>
    <w:rsid w:val="008B1114"/>
    <w:rsid w:val="008B418C"/>
    <w:rsid w:val="008C1ABB"/>
    <w:rsid w:val="008F626F"/>
    <w:rsid w:val="00904321"/>
    <w:rsid w:val="009129AE"/>
    <w:rsid w:val="00912BA2"/>
    <w:rsid w:val="0091630B"/>
    <w:rsid w:val="009512C4"/>
    <w:rsid w:val="00963F0F"/>
    <w:rsid w:val="009759EB"/>
    <w:rsid w:val="00991089"/>
    <w:rsid w:val="0099233E"/>
    <w:rsid w:val="00993E80"/>
    <w:rsid w:val="0099781D"/>
    <w:rsid w:val="009E379E"/>
    <w:rsid w:val="00A0762D"/>
    <w:rsid w:val="00A23F55"/>
    <w:rsid w:val="00A402D6"/>
    <w:rsid w:val="00A6013D"/>
    <w:rsid w:val="00A65257"/>
    <w:rsid w:val="00A80745"/>
    <w:rsid w:val="00A9559F"/>
    <w:rsid w:val="00AA766A"/>
    <w:rsid w:val="00AB1D88"/>
    <w:rsid w:val="00AB33C1"/>
    <w:rsid w:val="00AC124E"/>
    <w:rsid w:val="00AC1CEC"/>
    <w:rsid w:val="00AC6CB5"/>
    <w:rsid w:val="00AD6973"/>
    <w:rsid w:val="00AD751F"/>
    <w:rsid w:val="00AE193C"/>
    <w:rsid w:val="00AF254B"/>
    <w:rsid w:val="00AF532D"/>
    <w:rsid w:val="00B076BE"/>
    <w:rsid w:val="00B15812"/>
    <w:rsid w:val="00B210AA"/>
    <w:rsid w:val="00B24537"/>
    <w:rsid w:val="00B37EDC"/>
    <w:rsid w:val="00B4645E"/>
    <w:rsid w:val="00B6439A"/>
    <w:rsid w:val="00B65B8C"/>
    <w:rsid w:val="00B864FB"/>
    <w:rsid w:val="00B971F9"/>
    <w:rsid w:val="00BC1B4E"/>
    <w:rsid w:val="00BE13A7"/>
    <w:rsid w:val="00BE4DD6"/>
    <w:rsid w:val="00BF2418"/>
    <w:rsid w:val="00BF4173"/>
    <w:rsid w:val="00C11F8F"/>
    <w:rsid w:val="00C15526"/>
    <w:rsid w:val="00C15ADC"/>
    <w:rsid w:val="00C36927"/>
    <w:rsid w:val="00C36AAF"/>
    <w:rsid w:val="00C52B2B"/>
    <w:rsid w:val="00C54604"/>
    <w:rsid w:val="00C70E09"/>
    <w:rsid w:val="00C84168"/>
    <w:rsid w:val="00CA4A59"/>
    <w:rsid w:val="00CD7920"/>
    <w:rsid w:val="00CE00C0"/>
    <w:rsid w:val="00CE4AFC"/>
    <w:rsid w:val="00D03870"/>
    <w:rsid w:val="00D14182"/>
    <w:rsid w:val="00D307E2"/>
    <w:rsid w:val="00D43E73"/>
    <w:rsid w:val="00D6369A"/>
    <w:rsid w:val="00D67D15"/>
    <w:rsid w:val="00D75713"/>
    <w:rsid w:val="00D91E31"/>
    <w:rsid w:val="00D97635"/>
    <w:rsid w:val="00DC27FE"/>
    <w:rsid w:val="00DD60E1"/>
    <w:rsid w:val="00DD7E1E"/>
    <w:rsid w:val="00DE5A31"/>
    <w:rsid w:val="00DE7F82"/>
    <w:rsid w:val="00DF2B2A"/>
    <w:rsid w:val="00E04336"/>
    <w:rsid w:val="00E208F3"/>
    <w:rsid w:val="00E248B4"/>
    <w:rsid w:val="00E31DE3"/>
    <w:rsid w:val="00E51224"/>
    <w:rsid w:val="00E7086D"/>
    <w:rsid w:val="00E8403C"/>
    <w:rsid w:val="00EA50FD"/>
    <w:rsid w:val="00EA611A"/>
    <w:rsid w:val="00ED5F31"/>
    <w:rsid w:val="00EE23EE"/>
    <w:rsid w:val="00EF2BA8"/>
    <w:rsid w:val="00F12BE8"/>
    <w:rsid w:val="00F154FD"/>
    <w:rsid w:val="00F32F63"/>
    <w:rsid w:val="00F35E06"/>
    <w:rsid w:val="00F43102"/>
    <w:rsid w:val="00F5162C"/>
    <w:rsid w:val="00F6694D"/>
    <w:rsid w:val="00F86301"/>
    <w:rsid w:val="00F9386F"/>
    <w:rsid w:val="00F94AA7"/>
    <w:rsid w:val="00FB489E"/>
    <w:rsid w:val="00FD7DE2"/>
    <w:rsid w:val="00FE76FD"/>
    <w:rsid w:val="00FF0D35"/>
    <w:rsid w:val="00FF30A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AB89B26"/>
  <w15:chartTrackingRefBased/>
  <w15:docId w15:val="{1A8AF6F8-18F0-44B1-8BC1-0531FBABD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hm.bris.ac.uk/safety/nfras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Risk Assessment Form</vt:lpstr>
    </vt:vector>
  </TitlesOfParts>
  <Company>Bristol University</Company>
  <LinksUpToDate>false</LinksUpToDate>
  <CharactersWithSpaces>6455</CharactersWithSpaces>
  <SharedDoc>false</SharedDoc>
  <HLinks>
    <vt:vector size="6" baseType="variant">
      <vt:variant>
        <vt:i4>7405665</vt:i4>
      </vt:variant>
      <vt:variant>
        <vt:i4>0</vt:i4>
      </vt:variant>
      <vt:variant>
        <vt:i4>0</vt:i4>
      </vt:variant>
      <vt:variant>
        <vt:i4>5</vt:i4>
      </vt:variant>
      <vt:variant>
        <vt:lpwstr>http://www.chm.bris.ac.uk/safety/nfrass.htm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Form</dc:title>
  <dc:subject/>
  <dc:creator>Ken MacNeil</dc:creator>
  <cp:keywords/>
  <dc:description/>
  <cp:lastModifiedBy>Paul May</cp:lastModifiedBy>
  <cp:revision>2</cp:revision>
  <cp:lastPrinted>2000-07-26T11:28:00Z</cp:lastPrinted>
  <dcterms:created xsi:type="dcterms:W3CDTF">2019-06-05T08:31:00Z</dcterms:created>
  <dcterms:modified xsi:type="dcterms:W3CDTF">2019-06-05T08:31:00Z</dcterms:modified>
</cp:coreProperties>
</file>